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64E73" w:rsidRDefault="00C331F7">
      <w:pPr>
        <w:jc w:val="center"/>
        <w:rPr>
          <w:b/>
          <w:sz w:val="28"/>
          <w:szCs w:val="28"/>
        </w:rPr>
      </w:pPr>
      <w:r>
        <w:rPr>
          <w:b/>
          <w:sz w:val="28"/>
          <w:szCs w:val="28"/>
        </w:rPr>
        <w:t>Wellington Civic Trust</w:t>
      </w:r>
    </w:p>
    <w:p w:rsidR="00464E73" w:rsidRDefault="00C331F7">
      <w:pPr>
        <w:jc w:val="center"/>
        <w:rPr>
          <w:b/>
        </w:rPr>
      </w:pPr>
      <w:r>
        <w:rPr>
          <w:b/>
        </w:rPr>
        <w:t xml:space="preserve">DRAFT Minutes of meeting 5:30 pm, </w:t>
      </w:r>
      <w:r w:rsidR="00961855">
        <w:rPr>
          <w:b/>
        </w:rPr>
        <w:t>4 Feb 2019</w:t>
      </w:r>
      <w:r>
        <w:rPr>
          <w:b/>
        </w:rPr>
        <w:t xml:space="preserve">, at </w:t>
      </w:r>
      <w:r w:rsidR="00961855">
        <w:rPr>
          <w:b/>
        </w:rPr>
        <w:t>McKee Fehl Office</w:t>
      </w:r>
      <w:r>
        <w:rPr>
          <w:b/>
        </w:rPr>
        <w:t xml:space="preserve">, </w:t>
      </w:r>
      <w:r w:rsidR="00D13B8D">
        <w:rPr>
          <w:b/>
        </w:rPr>
        <w:t>22A Boulcott St</w:t>
      </w:r>
      <w:r>
        <w:rPr>
          <w:b/>
        </w:rPr>
        <w:t>, CBD.</w:t>
      </w:r>
    </w:p>
    <w:p w:rsidR="00B9308A" w:rsidRDefault="00B9308A">
      <w:pPr>
        <w:jc w:val="center"/>
        <w:rPr>
          <w:b/>
        </w:rPr>
      </w:pPr>
    </w:p>
    <w:p w:rsidR="00464E73" w:rsidRDefault="00464E73">
      <w:pPr>
        <w:rPr>
          <w:b/>
        </w:rPr>
      </w:pPr>
    </w:p>
    <w:tbl>
      <w:tblPr>
        <w:tblStyle w:val="a"/>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8334"/>
      </w:tblGrid>
      <w:tr w:rsidR="00464E73">
        <w:tc>
          <w:tcPr>
            <w:tcW w:w="1872" w:type="dxa"/>
          </w:tcPr>
          <w:p w:rsidR="00464E73" w:rsidRDefault="00C331F7">
            <w:pPr>
              <w:spacing w:before="60" w:after="60"/>
            </w:pPr>
            <w:r>
              <w:t>Attendees</w:t>
            </w:r>
          </w:p>
        </w:tc>
        <w:tc>
          <w:tcPr>
            <w:tcW w:w="8334" w:type="dxa"/>
          </w:tcPr>
          <w:p w:rsidR="00464E73" w:rsidRDefault="00267979">
            <w:pPr>
              <w:spacing w:before="60" w:after="60"/>
            </w:pPr>
            <w:r>
              <w:t xml:space="preserve">Jim McMahon </w:t>
            </w:r>
            <w:r w:rsidR="00C331F7">
              <w:t xml:space="preserve">(Chair), Bronwyn Brown, </w:t>
            </w:r>
            <w:r>
              <w:t xml:space="preserve">Clive Anstey, </w:t>
            </w:r>
            <w:r w:rsidR="00D13B8D">
              <w:t>Maurice Clark, Y</w:t>
            </w:r>
            <w:r>
              <w:t>on Yi Sohn</w:t>
            </w:r>
            <w:r w:rsidR="00B72D42">
              <w:t xml:space="preserve"> (Sec)</w:t>
            </w:r>
            <w:r w:rsidR="00A87B77">
              <w:t>, Alana Bowman</w:t>
            </w:r>
          </w:p>
        </w:tc>
      </w:tr>
      <w:tr w:rsidR="00464E73">
        <w:tc>
          <w:tcPr>
            <w:tcW w:w="1872" w:type="dxa"/>
          </w:tcPr>
          <w:p w:rsidR="00464E73" w:rsidRDefault="00C331F7">
            <w:pPr>
              <w:spacing w:before="60" w:after="60"/>
            </w:pPr>
            <w:r>
              <w:t>Apologies</w:t>
            </w:r>
          </w:p>
        </w:tc>
        <w:tc>
          <w:tcPr>
            <w:tcW w:w="8334" w:type="dxa"/>
          </w:tcPr>
          <w:p w:rsidR="00464E73" w:rsidRDefault="00267979">
            <w:pPr>
              <w:spacing w:before="60" w:after="60"/>
            </w:pPr>
            <w:r>
              <w:t>Amanda Dobson</w:t>
            </w:r>
            <w:r w:rsidR="00C331F7">
              <w:t xml:space="preserve">, </w:t>
            </w:r>
            <w:r w:rsidR="00D13B8D">
              <w:t>Sam Hals</w:t>
            </w:r>
            <w:r w:rsidR="001E49A3">
              <w:t>tea</w:t>
            </w:r>
            <w:r w:rsidR="00D13B8D">
              <w:t>d, Jonathan Suggate</w:t>
            </w:r>
            <w:r w:rsidR="00961855">
              <w:t>, Sylvia Allan, Paul Bruce</w:t>
            </w:r>
          </w:p>
        </w:tc>
      </w:tr>
      <w:tr w:rsidR="00464E73">
        <w:trPr>
          <w:trHeight w:val="440"/>
        </w:trPr>
        <w:tc>
          <w:tcPr>
            <w:tcW w:w="1872" w:type="dxa"/>
          </w:tcPr>
          <w:p w:rsidR="00464E73" w:rsidRDefault="00C331F7">
            <w:pPr>
              <w:spacing w:before="60" w:after="60"/>
            </w:pPr>
            <w:r>
              <w:t xml:space="preserve">Welcome </w:t>
            </w:r>
          </w:p>
        </w:tc>
        <w:tc>
          <w:tcPr>
            <w:tcW w:w="8334" w:type="dxa"/>
          </w:tcPr>
          <w:p w:rsidR="00464E73" w:rsidRDefault="00267979">
            <w:pPr>
              <w:spacing w:before="60" w:after="60"/>
            </w:pPr>
            <w:r>
              <w:t>Jim</w:t>
            </w:r>
            <w:r w:rsidR="00C331F7">
              <w:t xml:space="preserve"> opened the meeting </w:t>
            </w:r>
          </w:p>
        </w:tc>
      </w:tr>
      <w:tr w:rsidR="00961855">
        <w:tc>
          <w:tcPr>
            <w:tcW w:w="1872" w:type="dxa"/>
          </w:tcPr>
          <w:p w:rsidR="00961855" w:rsidRDefault="00961855">
            <w:pPr>
              <w:spacing w:before="60" w:after="60"/>
            </w:pPr>
            <w:r>
              <w:t>Guest Speaker I</w:t>
            </w:r>
          </w:p>
        </w:tc>
        <w:tc>
          <w:tcPr>
            <w:tcW w:w="8334" w:type="dxa"/>
          </w:tcPr>
          <w:p w:rsidR="00961855" w:rsidRDefault="00961855">
            <w:pPr>
              <w:spacing w:before="60" w:after="60"/>
            </w:pPr>
            <w:r>
              <w:t>Wellington City Council Heritage Manager Mark Lindsay</w:t>
            </w:r>
            <w:r w:rsidR="00117D63">
              <w:t xml:space="preserve"> </w:t>
            </w:r>
            <w:r w:rsidR="006F3517">
              <w:t xml:space="preserve">gave an excellent presentation </w:t>
            </w:r>
            <w:r w:rsidR="00117D63">
              <w:t xml:space="preserve">on </w:t>
            </w:r>
            <w:r>
              <w:t>council’s heritage strategies and policies.</w:t>
            </w:r>
            <w:r w:rsidR="006F3517">
              <w:t xml:space="preserve"> An</w:t>
            </w:r>
            <w:r w:rsidR="00117D63">
              <w:t xml:space="preserve"> animated discussion followed, contributed to</w:t>
            </w:r>
            <w:r w:rsidR="006F3517">
              <w:t xml:space="preserve"> also </w:t>
            </w:r>
            <w:r w:rsidR="00117D63">
              <w:t xml:space="preserve">by Mark’s Council colleagues. </w:t>
            </w:r>
            <w:r w:rsidR="006F3517">
              <w:t xml:space="preserve">Board members </w:t>
            </w:r>
            <w:r w:rsidR="00117D63">
              <w:t>were assured to hear about the council’s listings of heritage sites and buildings. The topic warranted far more discussion than time allowed. PPT file to be shared.</w:t>
            </w:r>
          </w:p>
        </w:tc>
      </w:tr>
      <w:tr w:rsidR="00961855">
        <w:tc>
          <w:tcPr>
            <w:tcW w:w="1872" w:type="dxa"/>
          </w:tcPr>
          <w:p w:rsidR="00961855" w:rsidRDefault="00961855">
            <w:pPr>
              <w:spacing w:before="60" w:after="60"/>
            </w:pPr>
            <w:r>
              <w:t>Guest Speaker II</w:t>
            </w:r>
          </w:p>
        </w:tc>
        <w:tc>
          <w:tcPr>
            <w:tcW w:w="8334" w:type="dxa"/>
          </w:tcPr>
          <w:p w:rsidR="00961855" w:rsidRDefault="00961855">
            <w:pPr>
              <w:spacing w:before="60" w:after="60"/>
            </w:pPr>
            <w:r>
              <w:t>Greater Wellington Regio</w:t>
            </w:r>
            <w:r w:rsidR="00604222">
              <w:t>n</w:t>
            </w:r>
            <w:r>
              <w:t>al Councillor Roger Blakely presented his perspective on the proposed regional transport package being considered by central government</w:t>
            </w:r>
            <w:r w:rsidR="00990503">
              <w:t xml:space="preserve">. </w:t>
            </w:r>
            <w:r w:rsidR="003929F7">
              <w:t>Roger is an advocate for light rail and prepared a very convincing PPT</w:t>
            </w:r>
            <w:r w:rsidR="00990503">
              <w:t>, well doc</w:t>
            </w:r>
            <w:r w:rsidR="003929F7">
              <w:t xml:space="preserve">umented case with clear objectives and timelines. </w:t>
            </w:r>
            <w:r w:rsidR="00990503">
              <w:t xml:space="preserve"> </w:t>
            </w:r>
            <w:r w:rsidR="003929F7">
              <w:t xml:space="preserve">Even if members don’t agree with everything proposed, Roger clearly outlines the issues and their urgency providing an excellent structure within which to frame any submissions the trust might make as the debate on transport continues. </w:t>
            </w:r>
            <w:r w:rsidR="006F3517">
              <w:t>Bronwyn</w:t>
            </w:r>
            <w:r w:rsidR="00990503">
              <w:t xml:space="preserve"> made comments, pointing out that northern suburbs (Khandallah/Nga</w:t>
            </w:r>
            <w:r w:rsidR="00EA4E43">
              <w:t>o</w:t>
            </w:r>
            <w:r w:rsidR="00990503">
              <w:t>) seem to be left off the radar of public transport, compared to central and southern Wellington suburbs</w:t>
            </w:r>
            <w:r w:rsidR="006F3517">
              <w:t xml:space="preserve">. Bronwyn also commented </w:t>
            </w:r>
            <w:r w:rsidR="00EA4E43">
              <w:t xml:space="preserve">that </w:t>
            </w:r>
            <w:r w:rsidR="00990503">
              <w:t>the ‘spine’ should extend to Kaiwharawhara Station (currently close</w:t>
            </w:r>
            <w:r w:rsidR="00EA4E43">
              <w:t>d</w:t>
            </w:r>
            <w:r w:rsidR="00990503">
              <w:t xml:space="preserve">) which would allow people to ‘park and ride’ from the bottom of the Ngaio </w:t>
            </w:r>
            <w:r w:rsidR="006F3517">
              <w:t>Gorge, and added that</w:t>
            </w:r>
            <w:r w:rsidR="00990503">
              <w:t xml:space="preserve"> ‘park and ride’ carparks along the Johnsonville rail line are too small for existing patronage. Clive mentioned how vacant land adjacent to the proposed ‘hubs’ need to be protected from development NOW, so that ‘park and ride’ options can be set up once light rail is implemented. Yon Yi asked what action was proposed for improving and integrating the existing rail and bus services.</w:t>
            </w:r>
          </w:p>
        </w:tc>
      </w:tr>
      <w:tr w:rsidR="00464E73">
        <w:tc>
          <w:tcPr>
            <w:tcW w:w="1872" w:type="dxa"/>
          </w:tcPr>
          <w:p w:rsidR="00464E73" w:rsidRDefault="00C331F7">
            <w:pPr>
              <w:spacing w:before="60" w:after="60"/>
            </w:pPr>
            <w:r>
              <w:t xml:space="preserve">Minutes </w:t>
            </w:r>
          </w:p>
        </w:tc>
        <w:tc>
          <w:tcPr>
            <w:tcW w:w="8334" w:type="dxa"/>
          </w:tcPr>
          <w:p w:rsidR="00464E73" w:rsidRDefault="00C331F7">
            <w:pPr>
              <w:spacing w:before="60" w:after="60"/>
            </w:pPr>
            <w:r>
              <w:t xml:space="preserve">Minutes </w:t>
            </w:r>
            <w:r w:rsidR="00961855">
              <w:t>of</w:t>
            </w:r>
            <w:r>
              <w:t xml:space="preserve"> the</w:t>
            </w:r>
            <w:r w:rsidR="00A87B77">
              <w:t xml:space="preserve"> </w:t>
            </w:r>
            <w:r w:rsidR="00961855">
              <w:t>03 Dec 2018</w:t>
            </w:r>
            <w:r>
              <w:t xml:space="preserve"> meeting w</w:t>
            </w:r>
            <w:r w:rsidR="00A87B77">
              <w:t xml:space="preserve">as </w:t>
            </w:r>
            <w:r>
              <w:t xml:space="preserve">presented and </w:t>
            </w:r>
            <w:r w:rsidR="00267979">
              <w:t>accepted.</w:t>
            </w:r>
          </w:p>
        </w:tc>
      </w:tr>
      <w:tr w:rsidR="00464E73">
        <w:tc>
          <w:tcPr>
            <w:tcW w:w="1872" w:type="dxa"/>
          </w:tcPr>
          <w:p w:rsidR="00464E73" w:rsidRDefault="00C331F7">
            <w:pPr>
              <w:spacing w:before="60" w:after="60"/>
            </w:pPr>
            <w:r>
              <w:t>Correspondence</w:t>
            </w:r>
          </w:p>
        </w:tc>
        <w:tc>
          <w:tcPr>
            <w:tcW w:w="8334" w:type="dxa"/>
          </w:tcPr>
          <w:p w:rsidR="00464E73" w:rsidRDefault="00961855">
            <w:r>
              <w:t>Nothing particular to report</w:t>
            </w:r>
          </w:p>
        </w:tc>
      </w:tr>
      <w:tr w:rsidR="00F40BD8">
        <w:tc>
          <w:tcPr>
            <w:tcW w:w="1872" w:type="dxa"/>
          </w:tcPr>
          <w:p w:rsidR="00F40BD8" w:rsidRDefault="00F40BD8">
            <w:pPr>
              <w:spacing w:before="60" w:after="60"/>
            </w:pPr>
            <w:r>
              <w:t>Financial report</w:t>
            </w:r>
          </w:p>
        </w:tc>
        <w:tc>
          <w:tcPr>
            <w:tcW w:w="8334" w:type="dxa"/>
          </w:tcPr>
          <w:p w:rsidR="00F40BD8" w:rsidRDefault="00961855">
            <w:pPr>
              <w:spacing w:before="60" w:after="60"/>
            </w:pPr>
            <w:r>
              <w:t>Operating account: $2,579.61; Savings account: $2,717.99</w:t>
            </w:r>
          </w:p>
        </w:tc>
      </w:tr>
      <w:tr w:rsidR="00464E73">
        <w:tc>
          <w:tcPr>
            <w:tcW w:w="1872" w:type="dxa"/>
          </w:tcPr>
          <w:p w:rsidR="00464E73" w:rsidRDefault="00C331F7">
            <w:pPr>
              <w:spacing w:before="60" w:after="60"/>
            </w:pPr>
            <w:r>
              <w:t>Membership</w:t>
            </w:r>
          </w:p>
        </w:tc>
        <w:tc>
          <w:tcPr>
            <w:tcW w:w="8334" w:type="dxa"/>
          </w:tcPr>
          <w:p w:rsidR="00464E73" w:rsidRDefault="00F40BD8">
            <w:pPr>
              <w:spacing w:before="60" w:after="60"/>
            </w:pPr>
            <w:r>
              <w:t>Company-1, Family-2</w:t>
            </w:r>
            <w:r w:rsidR="0093449A">
              <w:t>3</w:t>
            </w:r>
            <w:r>
              <w:t>, Govt-1, Life-7, Single-62, Total-9</w:t>
            </w:r>
            <w:r w:rsidR="0093449A">
              <w:t>4</w:t>
            </w:r>
            <w:r>
              <w:t>.</w:t>
            </w:r>
          </w:p>
        </w:tc>
      </w:tr>
      <w:tr w:rsidR="00206584">
        <w:tc>
          <w:tcPr>
            <w:tcW w:w="1872" w:type="dxa"/>
          </w:tcPr>
          <w:p w:rsidR="00206584" w:rsidRDefault="00206584">
            <w:pPr>
              <w:spacing w:before="60" w:after="60"/>
            </w:pPr>
            <w:r>
              <w:t>Transport</w:t>
            </w:r>
          </w:p>
        </w:tc>
        <w:tc>
          <w:tcPr>
            <w:tcW w:w="8334" w:type="dxa"/>
          </w:tcPr>
          <w:p w:rsidR="00B9308A" w:rsidRDefault="00851A5B" w:rsidP="00B9308A">
            <w:r>
              <w:t>Nothing particular to report</w:t>
            </w:r>
            <w:r w:rsidR="00990503">
              <w:t xml:space="preserve"> </w:t>
            </w:r>
          </w:p>
        </w:tc>
      </w:tr>
      <w:tr w:rsidR="00464E73">
        <w:tc>
          <w:tcPr>
            <w:tcW w:w="1872" w:type="dxa"/>
          </w:tcPr>
          <w:p w:rsidR="00464E73" w:rsidRDefault="00C331F7">
            <w:pPr>
              <w:spacing w:before="60" w:after="60"/>
            </w:pPr>
            <w:r>
              <w:t>Kaiwharawhara</w:t>
            </w:r>
            <w:r w:rsidR="00206584">
              <w:t>/</w:t>
            </w:r>
          </w:p>
          <w:p w:rsidR="00206584" w:rsidRDefault="006F3517">
            <w:pPr>
              <w:spacing w:before="60" w:after="60"/>
            </w:pPr>
            <w:r>
              <w:t>Centre port</w:t>
            </w:r>
          </w:p>
        </w:tc>
        <w:tc>
          <w:tcPr>
            <w:tcW w:w="8334" w:type="dxa"/>
          </w:tcPr>
          <w:p w:rsidR="00464E73" w:rsidRPr="00206584" w:rsidRDefault="00851A5B" w:rsidP="00206584">
            <w:pPr>
              <w:pBdr>
                <w:top w:val="nil"/>
                <w:left w:val="nil"/>
                <w:bottom w:val="nil"/>
                <w:right w:val="nil"/>
                <w:between w:val="nil"/>
              </w:pBdr>
              <w:spacing w:before="60" w:after="60"/>
              <w:rPr>
                <w:color w:val="222222"/>
                <w:highlight w:val="white"/>
              </w:rPr>
            </w:pPr>
            <w:r>
              <w:rPr>
                <w:color w:val="222222"/>
                <w:highlight w:val="white"/>
              </w:rPr>
              <w:t>Nothing particular to report</w:t>
            </w:r>
          </w:p>
        </w:tc>
      </w:tr>
      <w:tr w:rsidR="00464E73">
        <w:tc>
          <w:tcPr>
            <w:tcW w:w="1872" w:type="dxa"/>
          </w:tcPr>
          <w:p w:rsidR="00464E73" w:rsidRDefault="00C331F7">
            <w:pPr>
              <w:spacing w:before="60" w:after="60"/>
            </w:pPr>
            <w:r>
              <w:t>Seismic strengthening</w:t>
            </w:r>
          </w:p>
        </w:tc>
        <w:tc>
          <w:tcPr>
            <w:tcW w:w="8334" w:type="dxa"/>
          </w:tcPr>
          <w:p w:rsidR="00C76345" w:rsidRDefault="00851A5B" w:rsidP="00F00C7A">
            <w:pPr>
              <w:spacing w:before="60" w:after="60"/>
              <w:rPr>
                <w:color w:val="222222"/>
                <w:highlight w:val="white"/>
              </w:rPr>
            </w:pPr>
            <w:r>
              <w:rPr>
                <w:color w:val="222222"/>
                <w:highlight w:val="white"/>
              </w:rPr>
              <w:t>Nothing particular to report</w:t>
            </w:r>
          </w:p>
        </w:tc>
      </w:tr>
      <w:tr w:rsidR="00BB2399">
        <w:tc>
          <w:tcPr>
            <w:tcW w:w="1872" w:type="dxa"/>
          </w:tcPr>
          <w:p w:rsidR="00BB2399" w:rsidRDefault="00851A5B">
            <w:pPr>
              <w:spacing w:before="60" w:after="60"/>
            </w:pPr>
            <w:r>
              <w:t>Heritage/ Conservation</w:t>
            </w:r>
          </w:p>
        </w:tc>
        <w:tc>
          <w:tcPr>
            <w:tcW w:w="8334" w:type="dxa"/>
          </w:tcPr>
          <w:p w:rsidR="00BB2399" w:rsidRDefault="00851A5B">
            <w:pPr>
              <w:spacing w:before="60" w:after="60"/>
            </w:pPr>
            <w:r>
              <w:t>Nothing particular to report</w:t>
            </w:r>
            <w:r w:rsidR="0099493F">
              <w:t xml:space="preserve"> </w:t>
            </w:r>
          </w:p>
        </w:tc>
      </w:tr>
      <w:tr w:rsidR="00851A5B">
        <w:tc>
          <w:tcPr>
            <w:tcW w:w="1872" w:type="dxa"/>
          </w:tcPr>
          <w:p w:rsidR="00851A5B" w:rsidRDefault="00851A5B">
            <w:pPr>
              <w:spacing w:before="60" w:after="60"/>
            </w:pPr>
            <w:r>
              <w:t>RMA/ Natural Resources Plan</w:t>
            </w:r>
          </w:p>
        </w:tc>
        <w:tc>
          <w:tcPr>
            <w:tcW w:w="8334" w:type="dxa"/>
          </w:tcPr>
          <w:p w:rsidR="00851A5B" w:rsidRDefault="00851A5B">
            <w:pPr>
              <w:spacing w:before="60" w:after="60"/>
            </w:pPr>
            <w:r>
              <w:t>Nothing particular to report</w:t>
            </w:r>
          </w:p>
        </w:tc>
      </w:tr>
      <w:tr w:rsidR="00851A5B">
        <w:tc>
          <w:tcPr>
            <w:tcW w:w="1872" w:type="dxa"/>
          </w:tcPr>
          <w:p w:rsidR="00851A5B" w:rsidRDefault="00851A5B">
            <w:pPr>
              <w:spacing w:before="60" w:after="60"/>
            </w:pPr>
            <w:r>
              <w:t>Awards</w:t>
            </w:r>
          </w:p>
        </w:tc>
        <w:tc>
          <w:tcPr>
            <w:tcW w:w="8334" w:type="dxa"/>
          </w:tcPr>
          <w:p w:rsidR="00851A5B" w:rsidRDefault="00851A5B">
            <w:pPr>
              <w:spacing w:before="60" w:after="60"/>
            </w:pPr>
            <w:r>
              <w:t>Discussions on timing (perhaps Oct?), steps involved, the key stakeholders and the Trust’s objectives.</w:t>
            </w:r>
          </w:p>
        </w:tc>
      </w:tr>
      <w:tr w:rsidR="00553CC8">
        <w:tc>
          <w:tcPr>
            <w:tcW w:w="1872" w:type="dxa"/>
          </w:tcPr>
          <w:p w:rsidR="00553CC8" w:rsidRDefault="00553CC8">
            <w:pPr>
              <w:spacing w:before="60" w:after="60"/>
            </w:pPr>
            <w:r>
              <w:t>Frank Kitts Park</w:t>
            </w:r>
          </w:p>
        </w:tc>
        <w:tc>
          <w:tcPr>
            <w:tcW w:w="8334" w:type="dxa"/>
          </w:tcPr>
          <w:p w:rsidR="00553CC8" w:rsidRDefault="00851A5B">
            <w:pPr>
              <w:spacing w:before="60" w:after="60"/>
            </w:pPr>
            <w:r>
              <w:t>Hight court decision against appeal. Ex-councillor Helene Ritchie wrote to Scoop</w:t>
            </w:r>
            <w:r w:rsidR="00990503">
              <w:t>, s</w:t>
            </w:r>
            <w:r>
              <w:t>uggesting Haining St/Frederick St for Chinese Garden. Maurice unsure about the perspective.</w:t>
            </w:r>
          </w:p>
        </w:tc>
      </w:tr>
      <w:tr w:rsidR="00E2540A">
        <w:tc>
          <w:tcPr>
            <w:tcW w:w="1872" w:type="dxa"/>
          </w:tcPr>
          <w:p w:rsidR="00E2540A" w:rsidRDefault="00851A5B">
            <w:pPr>
              <w:spacing w:before="60" w:after="60"/>
            </w:pPr>
            <w:r>
              <w:t>City to Sea Overbridge</w:t>
            </w:r>
          </w:p>
        </w:tc>
        <w:tc>
          <w:tcPr>
            <w:tcW w:w="8334" w:type="dxa"/>
          </w:tcPr>
          <w:p w:rsidR="00E2540A" w:rsidRDefault="00F725C1">
            <w:pPr>
              <w:spacing w:before="60" w:after="60"/>
            </w:pPr>
            <w:r>
              <w:t>Board members agreed that the bridge is a defining feature of the waterfront and contributes significantly to its unique character. While accepting the need to ongoing maintenance and the periodic replacement of some elements of construction, the Trust would be greatly concerned if the fundamental design w</w:t>
            </w:r>
            <w:r w:rsidR="00EA4E43">
              <w:t>as</w:t>
            </w:r>
            <w:bookmarkStart w:id="0" w:name="_GoBack"/>
            <w:bookmarkEnd w:id="0"/>
            <w:r>
              <w:t xml:space="preserve"> to be altered.</w:t>
            </w:r>
          </w:p>
        </w:tc>
      </w:tr>
      <w:tr w:rsidR="00E2540A">
        <w:tc>
          <w:tcPr>
            <w:tcW w:w="1872" w:type="dxa"/>
          </w:tcPr>
          <w:p w:rsidR="00E2540A" w:rsidRDefault="00851A5B">
            <w:pPr>
              <w:spacing w:before="60" w:after="60"/>
            </w:pPr>
            <w:r>
              <w:t>Outer Green Belt Management Plan</w:t>
            </w:r>
          </w:p>
        </w:tc>
        <w:tc>
          <w:tcPr>
            <w:tcW w:w="8334" w:type="dxa"/>
          </w:tcPr>
          <w:p w:rsidR="00E2540A" w:rsidRDefault="00851A5B">
            <w:pPr>
              <w:spacing w:before="60" w:after="60"/>
            </w:pPr>
            <w:r>
              <w:t>Submission closing 25/March. Jim to draft the Trust’s submission</w:t>
            </w:r>
            <w:r w:rsidR="006F3517">
              <w:t xml:space="preserve">. </w:t>
            </w:r>
            <w:r w:rsidR="00F725C1">
              <w:t>As one of the two authors of the original strategy for the Outer Green Belt, Clive has a particular interest in the Outer Green Belt</w:t>
            </w:r>
            <w:r w:rsidR="006F3517">
              <w:t>, and will assist Jim in preparing submission.</w:t>
            </w:r>
          </w:p>
        </w:tc>
      </w:tr>
      <w:tr w:rsidR="00604222">
        <w:tc>
          <w:tcPr>
            <w:tcW w:w="1872" w:type="dxa"/>
          </w:tcPr>
          <w:p w:rsidR="00604222" w:rsidRDefault="00604222">
            <w:pPr>
              <w:spacing w:before="60" w:after="60"/>
            </w:pPr>
            <w:r>
              <w:t>Trust file archiving</w:t>
            </w:r>
          </w:p>
        </w:tc>
        <w:tc>
          <w:tcPr>
            <w:tcW w:w="8334" w:type="dxa"/>
          </w:tcPr>
          <w:p w:rsidR="00604222" w:rsidRDefault="00604222">
            <w:pPr>
              <w:spacing w:before="60" w:after="60"/>
            </w:pPr>
            <w:r>
              <w:t>Former Chair Alan Smith will deliver Trust files to Wellington City Council Archives. Files includes 2008 Hilton Hotel appeal, 2009 Basin Reserve seminar, etc. All in favour.</w:t>
            </w:r>
          </w:p>
        </w:tc>
      </w:tr>
      <w:tr w:rsidR="00887514">
        <w:tc>
          <w:tcPr>
            <w:tcW w:w="1872" w:type="dxa"/>
          </w:tcPr>
          <w:p w:rsidR="00887514" w:rsidRDefault="00851A5B">
            <w:pPr>
              <w:spacing w:before="60" w:after="60"/>
            </w:pPr>
            <w:r>
              <w:t>New Board member</w:t>
            </w:r>
          </w:p>
        </w:tc>
        <w:tc>
          <w:tcPr>
            <w:tcW w:w="8334" w:type="dxa"/>
          </w:tcPr>
          <w:p w:rsidR="00887514" w:rsidRDefault="00851A5B">
            <w:pPr>
              <w:spacing w:before="60" w:after="60"/>
            </w:pPr>
            <w:r>
              <w:t>Alana Bowman – background in Save the Basin, Waterfront Watch, etc. Previously a public prosecutor in the USA.</w:t>
            </w:r>
          </w:p>
        </w:tc>
      </w:tr>
      <w:tr w:rsidR="00E2540A">
        <w:tc>
          <w:tcPr>
            <w:tcW w:w="1872" w:type="dxa"/>
          </w:tcPr>
          <w:p w:rsidR="00E2540A" w:rsidRDefault="00E2540A">
            <w:pPr>
              <w:spacing w:before="60" w:after="60"/>
            </w:pPr>
            <w:r>
              <w:t>Next meeting</w:t>
            </w:r>
          </w:p>
        </w:tc>
        <w:tc>
          <w:tcPr>
            <w:tcW w:w="8334" w:type="dxa"/>
          </w:tcPr>
          <w:p w:rsidR="00E2540A" w:rsidRDefault="00E261F4">
            <w:pPr>
              <w:spacing w:before="60" w:after="60"/>
            </w:pPr>
            <w:r>
              <w:t xml:space="preserve">Monday </w:t>
            </w:r>
            <w:r w:rsidR="00851A5B">
              <w:t xml:space="preserve">5 March </w:t>
            </w:r>
            <w:r>
              <w:t xml:space="preserve">2019, </w:t>
            </w:r>
            <w:r w:rsidR="00851A5B">
              <w:t>McKee Ferl office</w:t>
            </w:r>
            <w:r w:rsidRPr="00E261F4">
              <w:t>, 22A Boulcott St</w:t>
            </w:r>
          </w:p>
        </w:tc>
      </w:tr>
      <w:tr w:rsidR="00464E73">
        <w:tc>
          <w:tcPr>
            <w:tcW w:w="1872" w:type="dxa"/>
          </w:tcPr>
          <w:p w:rsidR="00464E73" w:rsidRDefault="00C331F7">
            <w:pPr>
              <w:spacing w:before="60" w:after="60"/>
            </w:pPr>
            <w:r>
              <w:t xml:space="preserve">Closure </w:t>
            </w:r>
          </w:p>
        </w:tc>
        <w:tc>
          <w:tcPr>
            <w:tcW w:w="8334" w:type="dxa"/>
          </w:tcPr>
          <w:p w:rsidR="00464E73" w:rsidRDefault="00C331F7">
            <w:pPr>
              <w:spacing w:before="60" w:after="60"/>
            </w:pPr>
            <w:r>
              <w:t>The meeting concluded at 7</w:t>
            </w:r>
            <w:r w:rsidR="00851A5B">
              <w:t>:30</w:t>
            </w:r>
            <w:r>
              <w:t xml:space="preserve"> pm</w:t>
            </w:r>
            <w:r w:rsidR="00122326">
              <w:t>.</w:t>
            </w:r>
          </w:p>
        </w:tc>
      </w:tr>
    </w:tbl>
    <w:p w:rsidR="00464E73" w:rsidRDefault="00464E73" w:rsidP="007539D9">
      <w:pPr>
        <w:rPr>
          <w:sz w:val="24"/>
          <w:szCs w:val="24"/>
        </w:rPr>
      </w:pPr>
    </w:p>
    <w:sectPr w:rsidR="00464E73" w:rsidSect="000D2A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4" w:left="1440" w:header="709" w:footer="709"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70556" w:rsidRDefault="00E70556">
      <w:r>
        <w:separator/>
      </w:r>
    </w:p>
  </w:endnote>
  <w:endnote w:type="continuationSeparator" w:id="1">
    <w:p w:rsidR="00E70556" w:rsidRDefault="00E7055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464E73">
    <w:pPr>
      <w:pBdr>
        <w:top w:val="nil"/>
        <w:left w:val="nil"/>
        <w:bottom w:val="nil"/>
        <w:right w:val="nil"/>
        <w:between w:val="nil"/>
      </w:pBdr>
      <w:tabs>
        <w:tab w:val="center" w:pos="4513"/>
        <w:tab w:val="right" w:pos="9026"/>
      </w:tabs>
      <w:rPr>
        <w:color w:val="000000"/>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0D2A8B">
    <w:pPr>
      <w:pBdr>
        <w:top w:val="nil"/>
        <w:left w:val="nil"/>
        <w:bottom w:val="nil"/>
        <w:right w:val="nil"/>
        <w:between w:val="nil"/>
      </w:pBdr>
      <w:tabs>
        <w:tab w:val="center" w:pos="4513"/>
        <w:tab w:val="right" w:pos="9026"/>
      </w:tabs>
      <w:jc w:val="center"/>
      <w:rPr>
        <w:color w:val="000000"/>
      </w:rPr>
    </w:pPr>
    <w:r>
      <w:rPr>
        <w:color w:val="000000"/>
      </w:rPr>
      <w:fldChar w:fldCharType="begin"/>
    </w:r>
    <w:r w:rsidR="00C331F7">
      <w:rPr>
        <w:color w:val="000000"/>
      </w:rPr>
      <w:instrText>PAGE</w:instrText>
    </w:r>
    <w:r>
      <w:rPr>
        <w:color w:val="000000"/>
      </w:rPr>
      <w:fldChar w:fldCharType="separate"/>
    </w:r>
    <w:r w:rsidR="00F43DF4">
      <w:rPr>
        <w:noProof/>
        <w:color w:val="000000"/>
      </w:rPr>
      <w:t>2</w:t>
    </w:r>
    <w:r>
      <w:rPr>
        <w:color w:val="000000"/>
      </w:rPr>
      <w:fldChar w:fldCharType="end"/>
    </w:r>
  </w:p>
  <w:p w:rsidR="00464E73" w:rsidRDefault="00464E73">
    <w:pPr>
      <w:pBdr>
        <w:top w:val="nil"/>
        <w:left w:val="nil"/>
        <w:bottom w:val="nil"/>
        <w:right w:val="nil"/>
        <w:between w:val="nil"/>
      </w:pBdr>
      <w:tabs>
        <w:tab w:val="center" w:pos="4513"/>
        <w:tab w:val="right" w:pos="9026"/>
      </w:tabs>
      <w:rPr>
        <w:color w:val="000000"/>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464E73">
    <w:pPr>
      <w:pBdr>
        <w:top w:val="nil"/>
        <w:left w:val="nil"/>
        <w:bottom w:val="nil"/>
        <w:right w:val="nil"/>
        <w:between w:val="nil"/>
      </w:pBdr>
      <w:tabs>
        <w:tab w:val="center" w:pos="4513"/>
        <w:tab w:val="right" w:pos="9026"/>
      </w:tabs>
      <w:rPr>
        <w:color w:val="00000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70556" w:rsidRDefault="00E70556">
      <w:r>
        <w:separator/>
      </w:r>
    </w:p>
  </w:footnote>
  <w:footnote w:type="continuationSeparator" w:id="1">
    <w:p w:rsidR="00E70556" w:rsidRDefault="00E7055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464E73">
    <w:pPr>
      <w:pBdr>
        <w:top w:val="nil"/>
        <w:left w:val="nil"/>
        <w:bottom w:val="nil"/>
        <w:right w:val="nil"/>
        <w:between w:val="nil"/>
      </w:pBdr>
      <w:tabs>
        <w:tab w:val="center" w:pos="4513"/>
        <w:tab w:val="right" w:pos="9026"/>
      </w:tabs>
      <w:rPr>
        <w:color w:val="000000"/>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464E73">
    <w:pPr>
      <w:pBdr>
        <w:top w:val="nil"/>
        <w:left w:val="nil"/>
        <w:bottom w:val="nil"/>
        <w:right w:val="nil"/>
        <w:between w:val="nil"/>
      </w:pBdr>
      <w:tabs>
        <w:tab w:val="center" w:pos="4513"/>
        <w:tab w:val="right" w:pos="9026"/>
      </w:tabs>
      <w:rPr>
        <w:color w:val="000000"/>
      </w:rP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4E73" w:rsidRDefault="00464E73">
    <w:pPr>
      <w:pBdr>
        <w:top w:val="nil"/>
        <w:left w:val="nil"/>
        <w:bottom w:val="nil"/>
        <w:right w:val="nil"/>
        <w:between w:val="nil"/>
      </w:pBdr>
      <w:tabs>
        <w:tab w:val="center" w:pos="4513"/>
        <w:tab w:val="right" w:pos="9026"/>
      </w:tabs>
      <w:rPr>
        <w:color w:val="00000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3E669F"/>
    <w:multiLevelType w:val="multilevel"/>
    <w:tmpl w:val="58623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7697265"/>
    <w:multiLevelType w:val="hybridMultilevel"/>
    <w:tmpl w:val="B2CE3BEA"/>
    <w:lvl w:ilvl="0" w:tplc="7C6A517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B1C5A86"/>
    <w:multiLevelType w:val="multilevel"/>
    <w:tmpl w:val="0EA8C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0"/>
    <w:footnote w:id="1"/>
  </w:footnotePr>
  <w:endnotePr>
    <w:endnote w:id="0"/>
    <w:endnote w:id="1"/>
  </w:endnotePr>
  <w:compat/>
  <w:rsids>
    <w:rsidRoot w:val="00464E73"/>
    <w:rsid w:val="00021591"/>
    <w:rsid w:val="0008093A"/>
    <w:rsid w:val="000D2A8B"/>
    <w:rsid w:val="00117D63"/>
    <w:rsid w:val="00122326"/>
    <w:rsid w:val="001616D1"/>
    <w:rsid w:val="001D4598"/>
    <w:rsid w:val="001E49A3"/>
    <w:rsid w:val="00206584"/>
    <w:rsid w:val="00267979"/>
    <w:rsid w:val="00270ED8"/>
    <w:rsid w:val="0038354C"/>
    <w:rsid w:val="003929F7"/>
    <w:rsid w:val="00430C02"/>
    <w:rsid w:val="0046160E"/>
    <w:rsid w:val="00464E73"/>
    <w:rsid w:val="00485F15"/>
    <w:rsid w:val="0049669E"/>
    <w:rsid w:val="004A1DF6"/>
    <w:rsid w:val="00533B48"/>
    <w:rsid w:val="005356E2"/>
    <w:rsid w:val="00553CC8"/>
    <w:rsid w:val="005B52F6"/>
    <w:rsid w:val="00604222"/>
    <w:rsid w:val="006F3517"/>
    <w:rsid w:val="00727A02"/>
    <w:rsid w:val="007539D9"/>
    <w:rsid w:val="00781634"/>
    <w:rsid w:val="00851A5B"/>
    <w:rsid w:val="00882403"/>
    <w:rsid w:val="00887514"/>
    <w:rsid w:val="008C44C6"/>
    <w:rsid w:val="0093449A"/>
    <w:rsid w:val="00961855"/>
    <w:rsid w:val="00990503"/>
    <w:rsid w:val="0099493F"/>
    <w:rsid w:val="009E5BC9"/>
    <w:rsid w:val="00A35A5F"/>
    <w:rsid w:val="00A87B77"/>
    <w:rsid w:val="00AB0A9A"/>
    <w:rsid w:val="00B47E81"/>
    <w:rsid w:val="00B52B1A"/>
    <w:rsid w:val="00B72D42"/>
    <w:rsid w:val="00B9308A"/>
    <w:rsid w:val="00BA4D67"/>
    <w:rsid w:val="00BA5515"/>
    <w:rsid w:val="00BB2399"/>
    <w:rsid w:val="00C331F7"/>
    <w:rsid w:val="00C7408B"/>
    <w:rsid w:val="00C76345"/>
    <w:rsid w:val="00CF79FB"/>
    <w:rsid w:val="00D13B8D"/>
    <w:rsid w:val="00D20EE3"/>
    <w:rsid w:val="00E2540A"/>
    <w:rsid w:val="00E261F4"/>
    <w:rsid w:val="00E70556"/>
    <w:rsid w:val="00E84F56"/>
    <w:rsid w:val="00E91C34"/>
    <w:rsid w:val="00EA4E43"/>
    <w:rsid w:val="00F00C7A"/>
    <w:rsid w:val="00F264CC"/>
    <w:rsid w:val="00F40BD8"/>
    <w:rsid w:val="00F43DF4"/>
    <w:rsid w:val="00F54509"/>
    <w:rsid w:val="00F725C1"/>
    <w:rsid w:val="00FD6AF6"/>
  </w:rsids>
  <m:mathPr>
    <m:mathFont m:val="Georgia"/>
    <m:brkBin m:val="before"/>
    <m:brkBinSub m:val="--"/>
    <m:smallFrac/>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NZ"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8B"/>
  </w:style>
  <w:style w:type="paragraph" w:styleId="Heading1">
    <w:name w:val="heading 1"/>
    <w:basedOn w:val="Normal"/>
    <w:next w:val="Normal"/>
    <w:uiPriority w:val="9"/>
    <w:qFormat/>
    <w:rsid w:val="000D2A8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D2A8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D2A8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D2A8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D2A8B"/>
    <w:pPr>
      <w:keepNext/>
      <w:keepLines/>
      <w:spacing w:before="220" w:after="40"/>
      <w:outlineLvl w:val="4"/>
    </w:pPr>
    <w:rPr>
      <w:b/>
    </w:rPr>
  </w:style>
  <w:style w:type="paragraph" w:styleId="Heading6">
    <w:name w:val="heading 6"/>
    <w:basedOn w:val="Normal"/>
    <w:next w:val="Normal"/>
    <w:uiPriority w:val="9"/>
    <w:semiHidden/>
    <w:unhideWhenUsed/>
    <w:qFormat/>
    <w:rsid w:val="000D2A8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0D2A8B"/>
    <w:pPr>
      <w:keepNext/>
      <w:keepLines/>
      <w:spacing w:before="480" w:after="120"/>
    </w:pPr>
    <w:rPr>
      <w:b/>
      <w:sz w:val="72"/>
      <w:szCs w:val="72"/>
    </w:rPr>
  </w:style>
  <w:style w:type="paragraph" w:styleId="Subtitle">
    <w:name w:val="Subtitle"/>
    <w:basedOn w:val="Normal"/>
    <w:next w:val="Normal"/>
    <w:uiPriority w:val="11"/>
    <w:qFormat/>
    <w:rsid w:val="000D2A8B"/>
    <w:pPr>
      <w:keepNext/>
      <w:keepLines/>
      <w:spacing w:before="360" w:after="80"/>
    </w:pPr>
    <w:rPr>
      <w:rFonts w:ascii="Georgia" w:eastAsia="Georgia" w:hAnsi="Georgia" w:cs="Georgia"/>
      <w:i/>
      <w:color w:val="666666"/>
      <w:sz w:val="48"/>
      <w:szCs w:val="48"/>
    </w:rPr>
  </w:style>
  <w:style w:type="table" w:customStyle="1" w:styleId="a">
    <w:basedOn w:val="TableNormal"/>
    <w:rsid w:val="000D2A8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D2A8B"/>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A35A5F"/>
    <w:rPr>
      <w:rFonts w:ascii="Times New Roman" w:hAnsi="Times New Roman" w:cs="Times New Roman"/>
      <w:sz w:val="24"/>
      <w:szCs w:val="24"/>
    </w:rPr>
  </w:style>
  <w:style w:type="paragraph" w:styleId="ListParagraph">
    <w:name w:val="List Paragraph"/>
    <w:basedOn w:val="Normal"/>
    <w:uiPriority w:val="34"/>
    <w:qFormat/>
    <w:rsid w:val="00B9308A"/>
    <w:pPr>
      <w:ind w:left="720"/>
      <w:contextualSpacing/>
    </w:pPr>
  </w:style>
</w:styles>
</file>

<file path=word/webSettings.xml><?xml version="1.0" encoding="utf-8"?>
<w:webSettings xmlns:r="http://schemas.openxmlformats.org/officeDocument/2006/relationships" xmlns:w="http://schemas.openxmlformats.org/wordprocessingml/2006/main">
  <w:divs>
    <w:div w:id="55905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 Yi Sohn</dc:creator>
  <cp:lastModifiedBy>Cocoaberry</cp:lastModifiedBy>
  <cp:revision>2</cp:revision>
  <dcterms:created xsi:type="dcterms:W3CDTF">2019-03-03T01:34:00Z</dcterms:created>
  <dcterms:modified xsi:type="dcterms:W3CDTF">2019-03-03T01:34:00Z</dcterms:modified>
</cp:coreProperties>
</file>